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816" w:rsidRPr="009B16BB" w:rsidRDefault="00CE7816" w:rsidP="00CE7816">
      <w:pPr>
        <w:tabs>
          <w:tab w:val="left" w:pos="12780"/>
        </w:tabs>
        <w:rPr>
          <w:rFonts w:ascii="Arial" w:hAnsi="Arial" w:cs="Arial"/>
          <w:sz w:val="20"/>
        </w:rPr>
      </w:pPr>
      <w:r w:rsidRPr="009B16BB">
        <w:rPr>
          <w:rFonts w:ascii="Arial" w:hAnsi="Arial" w:cs="Arial"/>
          <w:b/>
          <w:sz w:val="20"/>
        </w:rPr>
        <w:t>BACKGROUND:</w:t>
      </w:r>
    </w:p>
    <w:p w:rsidR="00CE7816" w:rsidRDefault="00CE7816" w:rsidP="00CE7816">
      <w:pPr>
        <w:rPr>
          <w:rFonts w:ascii="Arial" w:hAnsi="Arial" w:cs="Arial"/>
          <w:sz w:val="20"/>
        </w:rPr>
      </w:pPr>
      <w:r w:rsidRPr="009B16BB">
        <w:rPr>
          <w:rFonts w:ascii="Arial" w:hAnsi="Arial" w:cs="Arial"/>
          <w:sz w:val="20"/>
        </w:rPr>
        <w:t xml:space="preserve">In November 2000, the Board of Supervisors and the School Board (Boards) approved a Total Compensation Strategy to target employee salaries at 100% of an adopted market median and benefits slightly above market levels. </w:t>
      </w:r>
      <w:r>
        <w:rPr>
          <w:rFonts w:ascii="Arial" w:hAnsi="Arial" w:cs="Arial"/>
          <w:sz w:val="20"/>
        </w:rPr>
        <w:t xml:space="preserve"> </w:t>
      </w:r>
      <w:r w:rsidRPr="009B16BB">
        <w:rPr>
          <w:rFonts w:ascii="Arial" w:hAnsi="Arial" w:cs="Arial"/>
          <w:sz w:val="20"/>
        </w:rPr>
        <w:t xml:space="preserve">The adopted market approved by the Boards is shown in Attachment </w:t>
      </w:r>
      <w:r>
        <w:rPr>
          <w:rFonts w:ascii="Arial" w:hAnsi="Arial" w:cs="Arial"/>
          <w:sz w:val="20"/>
        </w:rPr>
        <w:t>1</w:t>
      </w:r>
      <w:r w:rsidRPr="009B16BB">
        <w:rPr>
          <w:rFonts w:ascii="Arial" w:hAnsi="Arial" w:cs="Arial"/>
          <w:sz w:val="20"/>
        </w:rPr>
        <w:t xml:space="preserve">. </w:t>
      </w:r>
    </w:p>
    <w:p w:rsidR="00CE7816" w:rsidRDefault="00CE7816" w:rsidP="00CE7816">
      <w:pPr>
        <w:rPr>
          <w:rFonts w:ascii="Arial" w:hAnsi="Arial" w:cs="Arial"/>
          <w:sz w:val="20"/>
        </w:rPr>
      </w:pPr>
    </w:p>
    <w:p w:rsidR="00CE7816" w:rsidRDefault="00CE7816" w:rsidP="00CE7816">
      <w:pPr>
        <w:rPr>
          <w:rFonts w:ascii="Arial" w:hAnsi="Arial" w:cs="Arial"/>
          <w:sz w:val="20"/>
        </w:rPr>
      </w:pPr>
      <w:r w:rsidRPr="009B16BB">
        <w:rPr>
          <w:rFonts w:ascii="Arial" w:hAnsi="Arial" w:cs="Arial"/>
          <w:sz w:val="20"/>
        </w:rPr>
        <w:t>The Boards have continued to recognize the importance of providing competitive salaries and benefits as</w:t>
      </w:r>
      <w:r>
        <w:rPr>
          <w:rFonts w:ascii="Arial" w:hAnsi="Arial" w:cs="Arial"/>
          <w:sz w:val="20"/>
        </w:rPr>
        <w:t xml:space="preserve"> each year</w:t>
      </w:r>
      <w:r w:rsidRPr="009B16BB">
        <w:rPr>
          <w:rFonts w:ascii="Arial" w:hAnsi="Arial" w:cs="Arial"/>
          <w:sz w:val="20"/>
        </w:rPr>
        <w:t xml:space="preserve"> an increasing number of employees reach eligibility for retirement and staff has continued to adapt to a changing </w:t>
      </w:r>
      <w:r>
        <w:rPr>
          <w:rFonts w:ascii="Arial" w:hAnsi="Arial" w:cs="Arial"/>
          <w:sz w:val="20"/>
        </w:rPr>
        <w:t xml:space="preserve">work environment. </w:t>
      </w:r>
      <w:r w:rsidRPr="009B16BB">
        <w:rPr>
          <w:rFonts w:ascii="Arial" w:hAnsi="Arial" w:cs="Arial"/>
          <w:sz w:val="20"/>
        </w:rPr>
        <w:t xml:space="preserve"> </w:t>
      </w:r>
      <w:r>
        <w:rPr>
          <w:rFonts w:ascii="Arial" w:hAnsi="Arial" w:cs="Arial"/>
          <w:sz w:val="20"/>
        </w:rPr>
        <w:t>I</w:t>
      </w:r>
      <w:r w:rsidRPr="009B16BB">
        <w:rPr>
          <w:rFonts w:ascii="Arial" w:hAnsi="Arial" w:cs="Arial"/>
          <w:sz w:val="20"/>
        </w:rPr>
        <w:t>t is critical for Albemarle County to focus on retaining existing employees and recruiting skilled new employees</w:t>
      </w:r>
      <w:r>
        <w:rPr>
          <w:rFonts w:ascii="Arial" w:hAnsi="Arial" w:cs="Arial"/>
          <w:sz w:val="20"/>
        </w:rPr>
        <w:t xml:space="preserve">. </w:t>
      </w:r>
      <w:r w:rsidRPr="009B16BB">
        <w:rPr>
          <w:rFonts w:ascii="Arial" w:hAnsi="Arial" w:cs="Arial"/>
          <w:sz w:val="20"/>
        </w:rPr>
        <w:t xml:space="preserve"> </w:t>
      </w:r>
      <w:r>
        <w:rPr>
          <w:rFonts w:ascii="Arial" w:hAnsi="Arial" w:cs="Arial"/>
          <w:sz w:val="20"/>
        </w:rPr>
        <w:t>T</w:t>
      </w:r>
      <w:r w:rsidRPr="009B16BB">
        <w:rPr>
          <w:rFonts w:ascii="Arial" w:hAnsi="Arial" w:cs="Arial"/>
          <w:sz w:val="20"/>
        </w:rPr>
        <w:t xml:space="preserve">he County’s </w:t>
      </w:r>
      <w:r>
        <w:rPr>
          <w:rFonts w:ascii="Arial" w:hAnsi="Arial" w:cs="Arial"/>
          <w:sz w:val="20"/>
        </w:rPr>
        <w:t xml:space="preserve">Total Compensation Strategy </w:t>
      </w:r>
      <w:r w:rsidRPr="009B16BB">
        <w:rPr>
          <w:rFonts w:ascii="Arial" w:hAnsi="Arial" w:cs="Arial"/>
          <w:sz w:val="20"/>
        </w:rPr>
        <w:t>is designed and evaluated in light of those objectives.</w:t>
      </w:r>
    </w:p>
    <w:p w:rsidR="00CE7816" w:rsidRDefault="00CE7816" w:rsidP="00CE7816">
      <w:pPr>
        <w:rPr>
          <w:rFonts w:ascii="Arial" w:hAnsi="Arial" w:cs="Arial"/>
          <w:sz w:val="20"/>
        </w:rPr>
      </w:pPr>
    </w:p>
    <w:p w:rsidR="00CE7816" w:rsidRPr="009B16BB" w:rsidRDefault="00CE7816" w:rsidP="00CE7816">
      <w:pPr>
        <w:rPr>
          <w:rFonts w:ascii="Arial" w:hAnsi="Arial" w:cs="Arial"/>
          <w:sz w:val="20"/>
        </w:rPr>
      </w:pPr>
      <w:r w:rsidRPr="009B16BB">
        <w:rPr>
          <w:rFonts w:ascii="Arial" w:hAnsi="Arial" w:cs="Arial"/>
          <w:sz w:val="20"/>
        </w:rPr>
        <w:t xml:space="preserve">This report details </w:t>
      </w:r>
      <w:r>
        <w:rPr>
          <w:rFonts w:ascii="Arial" w:hAnsi="Arial" w:cs="Arial"/>
          <w:sz w:val="20"/>
        </w:rPr>
        <w:t xml:space="preserve">prior board actions, projections and </w:t>
      </w:r>
      <w:r w:rsidRPr="009B16BB">
        <w:rPr>
          <w:rFonts w:ascii="Arial" w:hAnsi="Arial" w:cs="Arial"/>
          <w:sz w:val="20"/>
        </w:rPr>
        <w:t>supporting analysis to achieve the adopted Total Compensation Strategy for the Boards to consider in giving budget guidance to the County Executive and Sup</w:t>
      </w:r>
      <w:r>
        <w:rPr>
          <w:rFonts w:ascii="Arial" w:hAnsi="Arial" w:cs="Arial"/>
          <w:sz w:val="20"/>
        </w:rPr>
        <w:t>erintendent for next budget year.</w:t>
      </w:r>
      <w:r w:rsidRPr="009B16BB">
        <w:rPr>
          <w:rFonts w:ascii="Arial" w:hAnsi="Arial" w:cs="Arial"/>
          <w:sz w:val="20"/>
        </w:rPr>
        <w:t xml:space="preserve"> </w:t>
      </w:r>
      <w:r>
        <w:rPr>
          <w:rFonts w:ascii="Arial" w:hAnsi="Arial" w:cs="Arial"/>
          <w:sz w:val="20"/>
        </w:rPr>
        <w:t xml:space="preserve"> </w:t>
      </w:r>
      <w:r w:rsidRPr="009B16BB">
        <w:rPr>
          <w:rFonts w:ascii="Arial" w:hAnsi="Arial" w:cs="Arial"/>
          <w:sz w:val="20"/>
        </w:rPr>
        <w:t xml:space="preserve">This report provides information on: </w:t>
      </w:r>
    </w:p>
    <w:p w:rsidR="00CE7816" w:rsidRPr="009B16BB" w:rsidRDefault="00CE7816" w:rsidP="00CE7816">
      <w:pPr>
        <w:rPr>
          <w:sz w:val="20"/>
        </w:rPr>
      </w:pPr>
      <w:r w:rsidRPr="009B16BB">
        <w:rPr>
          <w:rFonts w:ascii="Arial" w:hAnsi="Arial" w:cs="Arial"/>
          <w:sz w:val="20"/>
        </w:rPr>
        <w:t xml:space="preserve">1) Compensation Strategies (Attachments </w:t>
      </w:r>
      <w:r>
        <w:rPr>
          <w:rFonts w:ascii="Arial" w:hAnsi="Arial" w:cs="Arial"/>
          <w:sz w:val="20"/>
        </w:rPr>
        <w:t>1</w:t>
      </w:r>
      <w:r w:rsidRPr="009B16BB">
        <w:rPr>
          <w:rFonts w:ascii="Arial" w:hAnsi="Arial" w:cs="Arial"/>
          <w:sz w:val="20"/>
        </w:rPr>
        <w:t xml:space="preserve"> and </w:t>
      </w:r>
      <w:r>
        <w:rPr>
          <w:rFonts w:ascii="Arial" w:hAnsi="Arial" w:cs="Arial"/>
          <w:sz w:val="20"/>
        </w:rPr>
        <w:t>2</w:t>
      </w:r>
      <w:r w:rsidRPr="009B16BB">
        <w:rPr>
          <w:rFonts w:ascii="Arial" w:hAnsi="Arial" w:cs="Arial"/>
          <w:sz w:val="20"/>
        </w:rPr>
        <w:t xml:space="preserve">) </w:t>
      </w:r>
      <w:r w:rsidRPr="009B16BB">
        <w:rPr>
          <w:sz w:val="20"/>
        </w:rPr>
        <w:tab/>
      </w:r>
    </w:p>
    <w:p w:rsidR="00CE7816" w:rsidRDefault="00CE7816" w:rsidP="00CE7816">
      <w:pPr>
        <w:pStyle w:val="Default"/>
        <w:spacing w:after="11"/>
        <w:rPr>
          <w:sz w:val="20"/>
          <w:szCs w:val="20"/>
        </w:rPr>
      </w:pPr>
      <w:r w:rsidRPr="009B16BB">
        <w:rPr>
          <w:sz w:val="20"/>
          <w:szCs w:val="20"/>
        </w:rPr>
        <w:t xml:space="preserve">2) Benefits Strategies: Medical, Dental and VRS (Attachment </w:t>
      </w:r>
      <w:r>
        <w:rPr>
          <w:sz w:val="20"/>
          <w:szCs w:val="20"/>
        </w:rPr>
        <w:t>3</w:t>
      </w:r>
      <w:r w:rsidRPr="009B16BB">
        <w:rPr>
          <w:sz w:val="20"/>
          <w:szCs w:val="20"/>
        </w:rPr>
        <w:t>)</w:t>
      </w:r>
    </w:p>
    <w:p w:rsidR="00CE7816" w:rsidRDefault="00CE7816" w:rsidP="00CE7816">
      <w:pPr>
        <w:pStyle w:val="Default"/>
        <w:spacing w:after="11"/>
        <w:rPr>
          <w:sz w:val="20"/>
          <w:szCs w:val="20"/>
        </w:rPr>
      </w:pPr>
    </w:p>
    <w:p w:rsidR="00CE7816" w:rsidRPr="009B16BB" w:rsidRDefault="00CE7816" w:rsidP="00CE7816">
      <w:pPr>
        <w:pStyle w:val="Default"/>
        <w:spacing w:after="11"/>
        <w:rPr>
          <w:sz w:val="20"/>
          <w:szCs w:val="20"/>
        </w:rPr>
      </w:pPr>
      <w:r>
        <w:rPr>
          <w:sz w:val="20"/>
          <w:szCs w:val="20"/>
        </w:rPr>
        <w:t xml:space="preserve">No formal action is requested at this time.  The information and analysis will be presented during the work session for the purpose of receiving general direction from the Boards. Staff recommendations based on Board comments and further analysis of revenues will be presented to the Boards for action in the November. </w:t>
      </w:r>
    </w:p>
    <w:p w:rsidR="00CE7816" w:rsidRPr="009B16BB" w:rsidRDefault="00CE7816" w:rsidP="00CE7816">
      <w:pPr>
        <w:rPr>
          <w:rFonts w:ascii="Arial" w:hAnsi="Arial" w:cs="Arial"/>
          <w:sz w:val="20"/>
        </w:rPr>
      </w:pPr>
    </w:p>
    <w:p w:rsidR="00CE7816" w:rsidRPr="009B16BB" w:rsidRDefault="00CE7816" w:rsidP="00CE7816">
      <w:pPr>
        <w:tabs>
          <w:tab w:val="left" w:pos="12780"/>
        </w:tabs>
        <w:rPr>
          <w:rFonts w:ascii="Arial" w:hAnsi="Arial" w:cs="Arial"/>
          <w:sz w:val="20"/>
        </w:rPr>
      </w:pPr>
      <w:r w:rsidRPr="009B16BB">
        <w:rPr>
          <w:rFonts w:ascii="Arial" w:hAnsi="Arial" w:cs="Arial"/>
          <w:b/>
          <w:sz w:val="20"/>
        </w:rPr>
        <w:t>DISCUSSION:</w:t>
      </w:r>
    </w:p>
    <w:p w:rsidR="00CE7816" w:rsidRDefault="00CE7816" w:rsidP="00CE7816">
      <w:pPr>
        <w:pStyle w:val="Default"/>
        <w:rPr>
          <w:sz w:val="20"/>
          <w:szCs w:val="20"/>
        </w:rPr>
      </w:pPr>
      <w:r>
        <w:rPr>
          <w:sz w:val="20"/>
          <w:szCs w:val="20"/>
        </w:rPr>
        <w:t xml:space="preserve">1)  </w:t>
      </w:r>
      <w:r w:rsidRPr="009B16BB">
        <w:rPr>
          <w:sz w:val="20"/>
          <w:szCs w:val="20"/>
        </w:rPr>
        <w:t xml:space="preserve">Compensation Strategies </w:t>
      </w:r>
    </w:p>
    <w:p w:rsidR="00CE7816" w:rsidRPr="009B16BB" w:rsidRDefault="00CE7816" w:rsidP="00CE7816">
      <w:pPr>
        <w:pStyle w:val="Default"/>
        <w:ind w:left="720"/>
        <w:rPr>
          <w:sz w:val="20"/>
          <w:szCs w:val="20"/>
        </w:rPr>
      </w:pPr>
    </w:p>
    <w:p w:rsidR="00CE7816" w:rsidRDefault="00CE7816" w:rsidP="00CE7816">
      <w:pPr>
        <w:rPr>
          <w:rFonts w:ascii="Arial" w:hAnsi="Arial" w:cs="Arial"/>
          <w:sz w:val="20"/>
        </w:rPr>
      </w:pPr>
      <w:r>
        <w:rPr>
          <w:rFonts w:ascii="Arial" w:hAnsi="Arial" w:cs="Arial"/>
          <w:sz w:val="20"/>
        </w:rPr>
        <w:t>The Boards’ Total Compensation Strategy</w:t>
      </w:r>
      <w:r w:rsidRPr="009B16BB">
        <w:rPr>
          <w:rFonts w:ascii="Arial" w:hAnsi="Arial" w:cs="Arial"/>
          <w:sz w:val="20"/>
        </w:rPr>
        <w:t xml:space="preserve"> is detailed in </w:t>
      </w:r>
      <w:r>
        <w:rPr>
          <w:rFonts w:ascii="Arial" w:hAnsi="Arial" w:cs="Arial"/>
          <w:sz w:val="20"/>
        </w:rPr>
        <w:t>A</w:t>
      </w:r>
      <w:r w:rsidRPr="009B16BB">
        <w:rPr>
          <w:rFonts w:ascii="Arial" w:hAnsi="Arial" w:cs="Arial"/>
          <w:sz w:val="20"/>
        </w:rPr>
        <w:t xml:space="preserve">ttachment 2. </w:t>
      </w:r>
      <w:r>
        <w:rPr>
          <w:rFonts w:ascii="Arial" w:hAnsi="Arial" w:cs="Arial"/>
          <w:sz w:val="20"/>
        </w:rPr>
        <w:t xml:space="preserve"> Last year, recommendations</w:t>
      </w:r>
      <w:r w:rsidRPr="009B16BB">
        <w:rPr>
          <w:rFonts w:ascii="Arial" w:hAnsi="Arial" w:cs="Arial"/>
          <w:sz w:val="20"/>
        </w:rPr>
        <w:t xml:space="preserve"> based on the adopted strategy presented in October were to</w:t>
      </w:r>
      <w:r>
        <w:rPr>
          <w:rFonts w:ascii="Arial" w:hAnsi="Arial" w:cs="Arial"/>
          <w:sz w:val="20"/>
        </w:rPr>
        <w:t xml:space="preserve"> increase the </w:t>
      </w:r>
      <w:r w:rsidRPr="009B16BB">
        <w:rPr>
          <w:rFonts w:ascii="Arial" w:hAnsi="Arial" w:cs="Arial"/>
          <w:sz w:val="20"/>
        </w:rPr>
        <w:t>classified staff</w:t>
      </w:r>
      <w:r>
        <w:rPr>
          <w:rFonts w:ascii="Arial" w:hAnsi="Arial" w:cs="Arial"/>
          <w:sz w:val="20"/>
        </w:rPr>
        <w:t xml:space="preserve"> salary by 1-2%</w:t>
      </w:r>
      <w:r w:rsidRPr="009B16BB">
        <w:rPr>
          <w:rFonts w:ascii="Arial" w:hAnsi="Arial" w:cs="Arial"/>
          <w:sz w:val="20"/>
        </w:rPr>
        <w:t xml:space="preserve"> and to fund teacher</w:t>
      </w:r>
      <w:r>
        <w:rPr>
          <w:rFonts w:ascii="Arial" w:hAnsi="Arial" w:cs="Arial"/>
          <w:sz w:val="20"/>
        </w:rPr>
        <w:t xml:space="preserve"> salary</w:t>
      </w:r>
      <w:r w:rsidRPr="009B16BB">
        <w:rPr>
          <w:rFonts w:ascii="Arial" w:hAnsi="Arial" w:cs="Arial"/>
          <w:sz w:val="20"/>
        </w:rPr>
        <w:t xml:space="preserve"> increases by 1.95%. On April 18, 2012, the General Assembly </w:t>
      </w:r>
      <w:r>
        <w:rPr>
          <w:rFonts w:ascii="Arial" w:hAnsi="Arial" w:cs="Arial"/>
          <w:sz w:val="20"/>
        </w:rPr>
        <w:t>enacted</w:t>
      </w:r>
      <w:r w:rsidRPr="009B16BB">
        <w:rPr>
          <w:rFonts w:ascii="Arial" w:hAnsi="Arial" w:cs="Arial"/>
          <w:sz w:val="20"/>
        </w:rPr>
        <w:t xml:space="preserve"> a variety of changes to the retirement plan administered by the V</w:t>
      </w:r>
      <w:r>
        <w:rPr>
          <w:rFonts w:ascii="Arial" w:hAnsi="Arial" w:cs="Arial"/>
          <w:sz w:val="20"/>
        </w:rPr>
        <w:t>irginia Retirement System (VRS).  These changes</w:t>
      </w:r>
      <w:r w:rsidRPr="009B16BB">
        <w:rPr>
          <w:rFonts w:ascii="Arial" w:hAnsi="Arial" w:cs="Arial"/>
          <w:sz w:val="20"/>
        </w:rPr>
        <w:t xml:space="preserve"> included requiring</w:t>
      </w:r>
      <w:r>
        <w:rPr>
          <w:rFonts w:ascii="Arial" w:hAnsi="Arial" w:cs="Arial"/>
          <w:sz w:val="20"/>
        </w:rPr>
        <w:t xml:space="preserve"> current employees of </w:t>
      </w:r>
      <w:r w:rsidRPr="009B16BB">
        <w:rPr>
          <w:rFonts w:ascii="Arial" w:hAnsi="Arial" w:cs="Arial"/>
          <w:sz w:val="20"/>
        </w:rPr>
        <w:t>local governments</w:t>
      </w:r>
      <w:r>
        <w:rPr>
          <w:rFonts w:ascii="Arial" w:hAnsi="Arial" w:cs="Arial"/>
          <w:sz w:val="20"/>
        </w:rPr>
        <w:t xml:space="preserve"> and school divisions </w:t>
      </w:r>
      <w:r w:rsidRPr="009B16BB">
        <w:rPr>
          <w:rFonts w:ascii="Arial" w:hAnsi="Arial" w:cs="Arial"/>
          <w:sz w:val="20"/>
        </w:rPr>
        <w:t xml:space="preserve">to pay a 5% contribution to VRS by no later than July 1, 2016 and for local governments and school divisions to provide employees with a salary increase to offset the cost of the employees’ VRS contribution (the “5 and 5 Requirement”). </w:t>
      </w:r>
    </w:p>
    <w:p w:rsidR="00CE7816" w:rsidRDefault="00CE7816" w:rsidP="00CE7816">
      <w:pPr>
        <w:rPr>
          <w:rFonts w:ascii="Arial" w:hAnsi="Arial" w:cs="Arial"/>
          <w:sz w:val="20"/>
        </w:rPr>
      </w:pPr>
    </w:p>
    <w:p w:rsidR="00CE7816" w:rsidRDefault="00CE7816" w:rsidP="00CE7816">
      <w:pPr>
        <w:rPr>
          <w:rFonts w:ascii="Arial" w:hAnsi="Arial" w:cs="Arial"/>
          <w:color w:val="000000"/>
          <w:sz w:val="20"/>
        </w:rPr>
      </w:pPr>
      <w:r>
        <w:rPr>
          <w:rFonts w:ascii="Arial" w:hAnsi="Arial" w:cs="Arial"/>
          <w:sz w:val="20"/>
        </w:rPr>
        <w:t>The Boards</w:t>
      </w:r>
      <w:r w:rsidRPr="009B16BB">
        <w:rPr>
          <w:rFonts w:ascii="Arial" w:hAnsi="Arial" w:cs="Arial"/>
          <w:sz w:val="20"/>
        </w:rPr>
        <w:t xml:space="preserve"> approved the 5 and 5 requirement in FY 13 </w:t>
      </w:r>
      <w:r>
        <w:rPr>
          <w:rFonts w:ascii="Arial" w:hAnsi="Arial" w:cs="Arial"/>
          <w:sz w:val="20"/>
        </w:rPr>
        <w:t>and provided</w:t>
      </w:r>
      <w:r w:rsidRPr="009B16BB">
        <w:rPr>
          <w:rFonts w:ascii="Arial" w:hAnsi="Arial" w:cs="Arial"/>
          <w:sz w:val="20"/>
        </w:rPr>
        <w:t xml:space="preserve"> that all new revenues in FY 14 received by General Government and the School Division will first be used to offset the cost of implementing this VRS mandate and/or that operating expenses will be reduced in FY 14 to ensure that on-going funding will pay for this recurring expense.  Classified </w:t>
      </w:r>
      <w:r w:rsidRPr="009B16BB">
        <w:rPr>
          <w:rFonts w:ascii="Arial" w:hAnsi="Arial" w:cs="Arial"/>
          <w:color w:val="000000"/>
          <w:sz w:val="20"/>
        </w:rPr>
        <w:t xml:space="preserve">VRS-eligible employees received a 6% increase (5% for VRS plus the planned 1% general increase). </w:t>
      </w:r>
      <w:r>
        <w:rPr>
          <w:rFonts w:ascii="Arial" w:hAnsi="Arial" w:cs="Arial"/>
          <w:color w:val="000000"/>
          <w:sz w:val="20"/>
        </w:rPr>
        <w:t xml:space="preserve"> </w:t>
      </w:r>
      <w:r w:rsidRPr="009B16BB">
        <w:rPr>
          <w:rFonts w:ascii="Arial" w:hAnsi="Arial" w:cs="Arial"/>
          <w:color w:val="000000"/>
          <w:sz w:val="20"/>
        </w:rPr>
        <w:t>The teachers’ scale increase varied based on step and scale, with a 6.95% increase applied. </w:t>
      </w:r>
    </w:p>
    <w:p w:rsidR="00CE7816" w:rsidRPr="009B16BB" w:rsidRDefault="00CE7816" w:rsidP="00CE7816">
      <w:pPr>
        <w:rPr>
          <w:rFonts w:ascii="Arial" w:hAnsi="Arial" w:cs="Arial"/>
          <w:color w:val="000000"/>
          <w:sz w:val="20"/>
        </w:rPr>
      </w:pPr>
    </w:p>
    <w:p w:rsidR="00CE7816" w:rsidRDefault="00CE7816" w:rsidP="00CE7816">
      <w:pPr>
        <w:rPr>
          <w:rFonts w:ascii="Arial" w:hAnsi="Arial" w:cs="Arial"/>
          <w:color w:val="000000"/>
          <w:sz w:val="20"/>
        </w:rPr>
      </w:pPr>
      <w:r w:rsidRPr="009B16BB">
        <w:rPr>
          <w:rFonts w:ascii="Arial" w:hAnsi="Arial" w:cs="Arial"/>
          <w:color w:val="000000"/>
          <w:sz w:val="20"/>
        </w:rPr>
        <w:t>Prior to the VRS changes being enacted by the General Assembly, the Board</w:t>
      </w:r>
      <w:r>
        <w:rPr>
          <w:rFonts w:ascii="Arial" w:hAnsi="Arial" w:cs="Arial"/>
          <w:color w:val="000000"/>
          <w:sz w:val="20"/>
        </w:rPr>
        <w:t>s</w:t>
      </w:r>
      <w:r w:rsidRPr="009B16BB">
        <w:rPr>
          <w:rFonts w:ascii="Arial" w:hAnsi="Arial" w:cs="Arial"/>
          <w:color w:val="000000"/>
          <w:sz w:val="20"/>
        </w:rPr>
        <w:t xml:space="preserve"> approved a 1% general increase for employees.  Although the 5% VRS-related salary increase covered the required VRS contribution, </w:t>
      </w:r>
      <w:r w:rsidRPr="009B16BB">
        <w:rPr>
          <w:rFonts w:ascii="Arial" w:hAnsi="Arial" w:cs="Arial"/>
          <w:sz w:val="20"/>
        </w:rPr>
        <w:t>the 5% salary increase is subject to FICA, thus offsetting some of the 1% general</w:t>
      </w:r>
      <w:r>
        <w:rPr>
          <w:rFonts w:ascii="Arial" w:hAnsi="Arial" w:cs="Arial"/>
          <w:sz w:val="20"/>
        </w:rPr>
        <w:t xml:space="preserve"> salary</w:t>
      </w:r>
      <w:r w:rsidRPr="009B16BB">
        <w:rPr>
          <w:rFonts w:ascii="Arial" w:hAnsi="Arial" w:cs="Arial"/>
          <w:sz w:val="20"/>
        </w:rPr>
        <w:t xml:space="preserve"> increase. </w:t>
      </w:r>
      <w:r>
        <w:rPr>
          <w:rFonts w:ascii="Arial" w:hAnsi="Arial" w:cs="Arial"/>
          <w:sz w:val="20"/>
        </w:rPr>
        <w:t xml:space="preserve"> </w:t>
      </w:r>
      <w:r w:rsidRPr="009B16BB">
        <w:rPr>
          <w:rFonts w:ascii="Arial" w:hAnsi="Arial" w:cs="Arial"/>
          <w:sz w:val="20"/>
        </w:rPr>
        <w:t>Therefore,</w:t>
      </w:r>
      <w:r w:rsidRPr="009B16BB">
        <w:rPr>
          <w:rFonts w:ascii="Arial" w:hAnsi="Arial" w:cs="Arial"/>
          <w:color w:val="000000"/>
          <w:sz w:val="20"/>
        </w:rPr>
        <w:t xml:space="preserve"> the full benefit of the 1% salary increase was not realized as the Boards had planned when the budget was adopted.</w:t>
      </w:r>
      <w:r>
        <w:rPr>
          <w:rFonts w:ascii="Arial" w:hAnsi="Arial" w:cs="Arial"/>
          <w:color w:val="000000"/>
          <w:sz w:val="20"/>
        </w:rPr>
        <w:t xml:space="preserve">  </w:t>
      </w:r>
      <w:r w:rsidRPr="009B16BB">
        <w:rPr>
          <w:rFonts w:ascii="Arial" w:hAnsi="Arial" w:cs="Arial"/>
          <w:color w:val="000000"/>
          <w:sz w:val="20"/>
        </w:rPr>
        <w:t>Non</w:t>
      </w:r>
      <w:r>
        <w:rPr>
          <w:rFonts w:ascii="Arial" w:hAnsi="Arial" w:cs="Arial"/>
          <w:color w:val="000000"/>
          <w:sz w:val="20"/>
        </w:rPr>
        <w:t>-</w:t>
      </w:r>
      <w:r w:rsidRPr="009B16BB">
        <w:rPr>
          <w:rFonts w:ascii="Arial" w:hAnsi="Arial" w:cs="Arial"/>
          <w:color w:val="000000"/>
          <w:sz w:val="20"/>
        </w:rPr>
        <w:t>VRS eligible classified employees received the planned 1% general increase, and non</w:t>
      </w:r>
      <w:r>
        <w:rPr>
          <w:rFonts w:ascii="Arial" w:hAnsi="Arial" w:cs="Arial"/>
          <w:color w:val="000000"/>
          <w:sz w:val="20"/>
        </w:rPr>
        <w:t>-</w:t>
      </w:r>
      <w:r w:rsidRPr="009B16BB">
        <w:rPr>
          <w:rFonts w:ascii="Arial" w:hAnsi="Arial" w:cs="Arial"/>
          <w:color w:val="000000"/>
          <w:sz w:val="20"/>
        </w:rPr>
        <w:t xml:space="preserve">VRS teachers’ scale and step was built on an increase of 1.95%. </w:t>
      </w:r>
    </w:p>
    <w:p w:rsidR="00CE7816" w:rsidRDefault="00CE7816" w:rsidP="00CE7816">
      <w:pPr>
        <w:rPr>
          <w:rFonts w:ascii="Arial" w:hAnsi="Arial" w:cs="Arial"/>
          <w:color w:val="000000"/>
          <w:sz w:val="20"/>
        </w:rPr>
      </w:pPr>
    </w:p>
    <w:p w:rsidR="00CE7816" w:rsidRPr="009B16BB" w:rsidRDefault="00CE7816" w:rsidP="00CE7816">
      <w:pPr>
        <w:rPr>
          <w:rFonts w:ascii="Arial" w:hAnsi="Arial" w:cs="Arial"/>
          <w:color w:val="000000"/>
          <w:sz w:val="20"/>
        </w:rPr>
      </w:pPr>
      <w:r>
        <w:rPr>
          <w:rFonts w:ascii="Arial" w:hAnsi="Arial" w:cs="Arial"/>
          <w:color w:val="000000"/>
          <w:sz w:val="20"/>
        </w:rPr>
        <w:t xml:space="preserve">As discussed in Attachment 2, our prior salary position relative to market (-0.35%), together with the adopted market median net increase (0.7%) and </w:t>
      </w:r>
      <w:proofErr w:type="spellStart"/>
      <w:r>
        <w:rPr>
          <w:rFonts w:ascii="Arial" w:hAnsi="Arial" w:cs="Arial"/>
          <w:color w:val="000000"/>
          <w:sz w:val="20"/>
        </w:rPr>
        <w:t>WorldatWork</w:t>
      </w:r>
      <w:proofErr w:type="spellEnd"/>
      <w:r>
        <w:rPr>
          <w:rFonts w:ascii="Arial" w:hAnsi="Arial" w:cs="Arial"/>
          <w:color w:val="000000"/>
          <w:sz w:val="20"/>
        </w:rPr>
        <w:t xml:space="preserve"> projections for the Eastern Region (2.5%), supports projected salary increases of 2.55% and 2.5% for Classified/Administrator and Teacher positions respectively. Despite </w:t>
      </w:r>
      <w:proofErr w:type="spellStart"/>
      <w:r>
        <w:rPr>
          <w:rFonts w:ascii="Arial" w:hAnsi="Arial" w:cs="Arial"/>
          <w:color w:val="000000"/>
          <w:sz w:val="20"/>
        </w:rPr>
        <w:t>WorldatWork’s</w:t>
      </w:r>
      <w:proofErr w:type="spellEnd"/>
      <w:r>
        <w:rPr>
          <w:rFonts w:ascii="Arial" w:hAnsi="Arial" w:cs="Arial"/>
          <w:color w:val="000000"/>
          <w:sz w:val="20"/>
        </w:rPr>
        <w:t xml:space="preserve"> recent history of overestimating increases in recent years (see Attachment 2), staff is supportive of the current estimate of 2.5%, particularly in light of not having funded any merit increases in the county during the past five years. Once again, final recommendations will be based on further analysis and availability of funding.</w:t>
      </w:r>
    </w:p>
    <w:p w:rsidR="00CE7816" w:rsidRPr="009B16BB" w:rsidRDefault="00CE7816" w:rsidP="00CE7816">
      <w:pPr>
        <w:rPr>
          <w:rFonts w:ascii="Arial" w:hAnsi="Arial" w:cs="Arial"/>
          <w:sz w:val="20"/>
        </w:rPr>
      </w:pPr>
    </w:p>
    <w:p w:rsidR="00CE7816" w:rsidRDefault="00CE7816" w:rsidP="00CE7816">
      <w:pPr>
        <w:rPr>
          <w:rFonts w:ascii="Arial" w:hAnsi="Arial" w:cs="Arial"/>
          <w:sz w:val="20"/>
        </w:rPr>
      </w:pPr>
      <w:r>
        <w:rPr>
          <w:rFonts w:ascii="Arial" w:hAnsi="Arial" w:cs="Arial"/>
          <w:sz w:val="20"/>
        </w:rPr>
        <w:lastRenderedPageBreak/>
        <w:t xml:space="preserve">2)  </w:t>
      </w:r>
      <w:r w:rsidRPr="009B16BB">
        <w:rPr>
          <w:rFonts w:ascii="Arial" w:hAnsi="Arial" w:cs="Arial"/>
          <w:sz w:val="20"/>
        </w:rPr>
        <w:t xml:space="preserve">Benefits Strategies </w:t>
      </w:r>
    </w:p>
    <w:p w:rsidR="00CE7816" w:rsidRPr="009B16BB" w:rsidRDefault="00CE7816" w:rsidP="00CE7816">
      <w:pPr>
        <w:ind w:left="720"/>
        <w:rPr>
          <w:rFonts w:ascii="Arial" w:hAnsi="Arial" w:cs="Arial"/>
          <w:sz w:val="20"/>
        </w:rPr>
      </w:pPr>
    </w:p>
    <w:p w:rsidR="00CE7816" w:rsidRPr="009B16BB" w:rsidRDefault="00CE7816" w:rsidP="00CE7816">
      <w:pPr>
        <w:rPr>
          <w:rFonts w:ascii="Arial" w:hAnsi="Arial" w:cs="Arial"/>
          <w:sz w:val="20"/>
        </w:rPr>
      </w:pPr>
      <w:r w:rsidRPr="009B16BB">
        <w:rPr>
          <w:rFonts w:ascii="Arial" w:hAnsi="Arial" w:cs="Arial"/>
          <w:sz w:val="20"/>
        </w:rPr>
        <w:t xml:space="preserve">The </w:t>
      </w:r>
      <w:r>
        <w:rPr>
          <w:rFonts w:ascii="Arial" w:hAnsi="Arial" w:cs="Arial"/>
          <w:sz w:val="20"/>
        </w:rPr>
        <w:t xml:space="preserve">Boards’ jointly </w:t>
      </w:r>
      <w:r w:rsidRPr="009B16BB">
        <w:rPr>
          <w:rFonts w:ascii="Arial" w:hAnsi="Arial" w:cs="Arial"/>
          <w:sz w:val="20"/>
        </w:rPr>
        <w:t>adopted Benefits Strategy is to maintain a benefit program that is slightly above market. Medical insurance and the VRS benefit are the largest components of that benefit strategy.</w:t>
      </w:r>
      <w:r>
        <w:rPr>
          <w:rFonts w:ascii="Arial" w:hAnsi="Arial" w:cs="Arial"/>
          <w:sz w:val="20"/>
        </w:rPr>
        <w:t xml:space="preserve"> </w:t>
      </w:r>
      <w:r w:rsidRPr="009B16BB">
        <w:rPr>
          <w:rFonts w:ascii="Arial" w:hAnsi="Arial" w:cs="Arial"/>
          <w:sz w:val="20"/>
        </w:rPr>
        <w:t xml:space="preserve"> The information provided in the attached Benefits Strategies details the analysis of those benefit programs and </w:t>
      </w:r>
      <w:r>
        <w:rPr>
          <w:rFonts w:ascii="Arial" w:hAnsi="Arial" w:cs="Arial"/>
          <w:sz w:val="20"/>
        </w:rPr>
        <w:t xml:space="preserve">prior actions taken </w:t>
      </w:r>
      <w:r w:rsidRPr="009B16BB">
        <w:rPr>
          <w:rFonts w:ascii="Arial" w:hAnsi="Arial" w:cs="Arial"/>
          <w:sz w:val="20"/>
        </w:rPr>
        <w:t>to remain cons</w:t>
      </w:r>
      <w:r>
        <w:rPr>
          <w:rFonts w:ascii="Arial" w:hAnsi="Arial" w:cs="Arial"/>
          <w:sz w:val="20"/>
        </w:rPr>
        <w:t>istent with the Benefit S</w:t>
      </w:r>
      <w:r w:rsidRPr="009B16BB">
        <w:rPr>
          <w:rFonts w:ascii="Arial" w:hAnsi="Arial" w:cs="Arial"/>
          <w:sz w:val="20"/>
        </w:rPr>
        <w:t xml:space="preserve">trategy. </w:t>
      </w:r>
      <w:r>
        <w:rPr>
          <w:rFonts w:ascii="Arial" w:hAnsi="Arial" w:cs="Arial"/>
          <w:sz w:val="20"/>
        </w:rPr>
        <w:t xml:space="preserve"> </w:t>
      </w:r>
      <w:r w:rsidRPr="009B16BB">
        <w:rPr>
          <w:rFonts w:ascii="Arial" w:hAnsi="Arial" w:cs="Arial"/>
          <w:sz w:val="20"/>
        </w:rPr>
        <w:t xml:space="preserve">In order to comprehensively evaluate the medical </w:t>
      </w:r>
      <w:r>
        <w:rPr>
          <w:rFonts w:ascii="Arial" w:hAnsi="Arial" w:cs="Arial"/>
          <w:sz w:val="20"/>
        </w:rPr>
        <w:t xml:space="preserve">insurance </w:t>
      </w:r>
      <w:r w:rsidRPr="009B16BB">
        <w:rPr>
          <w:rFonts w:ascii="Arial" w:hAnsi="Arial" w:cs="Arial"/>
          <w:sz w:val="20"/>
        </w:rPr>
        <w:t xml:space="preserve">plan, staff works with </w:t>
      </w:r>
      <w:proofErr w:type="spellStart"/>
      <w:r w:rsidRPr="009B16BB">
        <w:rPr>
          <w:rFonts w:ascii="Arial" w:hAnsi="Arial" w:cs="Arial"/>
          <w:sz w:val="20"/>
        </w:rPr>
        <w:t>Keiter</w:t>
      </w:r>
      <w:proofErr w:type="spellEnd"/>
      <w:r w:rsidRPr="009B16BB">
        <w:rPr>
          <w:rFonts w:ascii="Arial" w:hAnsi="Arial" w:cs="Arial"/>
          <w:sz w:val="20"/>
        </w:rPr>
        <w:t xml:space="preserve">, </w:t>
      </w:r>
      <w:proofErr w:type="spellStart"/>
      <w:r w:rsidRPr="009B16BB">
        <w:rPr>
          <w:rFonts w:ascii="Arial" w:hAnsi="Arial" w:cs="Arial"/>
          <w:sz w:val="20"/>
        </w:rPr>
        <w:t>Slabaugh</w:t>
      </w:r>
      <w:proofErr w:type="spellEnd"/>
      <w:r w:rsidRPr="009B16BB">
        <w:rPr>
          <w:rFonts w:ascii="Arial" w:hAnsi="Arial" w:cs="Arial"/>
          <w:sz w:val="20"/>
        </w:rPr>
        <w:t xml:space="preserve">, Penny &amp; </w:t>
      </w:r>
      <w:proofErr w:type="spellStart"/>
      <w:r w:rsidRPr="009B16BB">
        <w:rPr>
          <w:rFonts w:ascii="Arial" w:hAnsi="Arial" w:cs="Arial"/>
          <w:sz w:val="20"/>
        </w:rPr>
        <w:t>Holme</w:t>
      </w:r>
      <w:proofErr w:type="spellEnd"/>
      <w:r w:rsidRPr="009B16BB">
        <w:rPr>
          <w:rFonts w:ascii="Arial" w:hAnsi="Arial" w:cs="Arial"/>
          <w:sz w:val="20"/>
        </w:rPr>
        <w:t>, LLC (KSPH) to</w:t>
      </w:r>
      <w:r>
        <w:rPr>
          <w:rFonts w:ascii="Arial" w:hAnsi="Arial" w:cs="Arial"/>
          <w:sz w:val="20"/>
        </w:rPr>
        <w:t xml:space="preserve"> conduct r</w:t>
      </w:r>
      <w:r w:rsidRPr="009B16BB">
        <w:rPr>
          <w:rFonts w:ascii="Arial" w:hAnsi="Arial" w:cs="Arial"/>
          <w:sz w:val="20"/>
        </w:rPr>
        <w:t>eview</w:t>
      </w:r>
      <w:r>
        <w:rPr>
          <w:rFonts w:ascii="Arial" w:hAnsi="Arial" w:cs="Arial"/>
          <w:sz w:val="20"/>
        </w:rPr>
        <w:t>s</w:t>
      </w:r>
      <w:r w:rsidRPr="009B16BB">
        <w:rPr>
          <w:rFonts w:ascii="Arial" w:hAnsi="Arial" w:cs="Arial"/>
          <w:sz w:val="20"/>
        </w:rPr>
        <w:t xml:space="preserve"> based on a scoring mod</w:t>
      </w:r>
      <w:r>
        <w:rPr>
          <w:rFonts w:ascii="Arial" w:hAnsi="Arial" w:cs="Arial"/>
          <w:sz w:val="20"/>
        </w:rPr>
        <w:t>el which includes</w:t>
      </w:r>
      <w:r w:rsidRPr="009B16BB">
        <w:rPr>
          <w:rFonts w:ascii="Arial" w:hAnsi="Arial" w:cs="Arial"/>
          <w:sz w:val="20"/>
        </w:rPr>
        <w:t xml:space="preserve"> plan design features, premium costs to employees, and Board contribution amounts.  Last year, this model indicated that we were slightly above our target in several plan design areas. </w:t>
      </w:r>
      <w:r>
        <w:rPr>
          <w:rFonts w:ascii="Arial" w:hAnsi="Arial" w:cs="Arial"/>
          <w:sz w:val="20"/>
        </w:rPr>
        <w:t xml:space="preserve"> </w:t>
      </w:r>
      <w:r w:rsidRPr="009B16BB">
        <w:rPr>
          <w:rFonts w:ascii="Arial" w:hAnsi="Arial" w:cs="Arial"/>
          <w:sz w:val="20"/>
        </w:rPr>
        <w:t>The Health Care Executive Committee (HCEC) considered the feedback gained from employees via focus groups and an online survey in evaluating options to bring the</w:t>
      </w:r>
      <w:r>
        <w:rPr>
          <w:rFonts w:ascii="Arial" w:hAnsi="Arial" w:cs="Arial"/>
          <w:sz w:val="20"/>
        </w:rPr>
        <w:t xml:space="preserve"> medical insurance</w:t>
      </w:r>
      <w:r w:rsidRPr="009B16BB">
        <w:rPr>
          <w:rFonts w:ascii="Arial" w:hAnsi="Arial" w:cs="Arial"/>
          <w:sz w:val="20"/>
        </w:rPr>
        <w:t xml:space="preserve"> plan in line with our market strategy for </w:t>
      </w:r>
      <w:r>
        <w:rPr>
          <w:rFonts w:ascii="Arial" w:hAnsi="Arial" w:cs="Arial"/>
          <w:sz w:val="20"/>
        </w:rPr>
        <w:t>the next plan year.  Changes</w:t>
      </w:r>
      <w:r w:rsidRPr="009B16BB">
        <w:rPr>
          <w:rFonts w:ascii="Arial" w:hAnsi="Arial" w:cs="Arial"/>
          <w:sz w:val="20"/>
        </w:rPr>
        <w:t xml:space="preserve"> include</w:t>
      </w:r>
      <w:r>
        <w:rPr>
          <w:rFonts w:ascii="Arial" w:hAnsi="Arial" w:cs="Arial"/>
          <w:sz w:val="20"/>
        </w:rPr>
        <w:t>d</w:t>
      </w:r>
      <w:r w:rsidRPr="009B16BB">
        <w:rPr>
          <w:rFonts w:ascii="Arial" w:hAnsi="Arial" w:cs="Arial"/>
          <w:sz w:val="20"/>
        </w:rPr>
        <w:t xml:space="preserve"> eliminating t</w:t>
      </w:r>
      <w:r w:rsidRPr="009B16BB">
        <w:rPr>
          <w:rFonts w:ascii="Arial" w:hAnsi="Arial" w:cs="Arial"/>
          <w:bCs/>
          <w:sz w:val="20"/>
        </w:rPr>
        <w:t xml:space="preserve">he High Plan and implementing changes to co-insurance and out of pocket maximums.  </w:t>
      </w:r>
      <w:r w:rsidRPr="009B16BB">
        <w:rPr>
          <w:rFonts w:ascii="Arial" w:hAnsi="Arial" w:cs="Arial"/>
          <w:sz w:val="20"/>
        </w:rPr>
        <w:t xml:space="preserve">Based on these plan design changes, we are closer to our target, but still slightly above market.  The HCEC will continue to gather employee feedback and develop recommended options to present to the Boards </w:t>
      </w:r>
      <w:r>
        <w:rPr>
          <w:rFonts w:ascii="Arial" w:hAnsi="Arial" w:cs="Arial"/>
          <w:sz w:val="20"/>
        </w:rPr>
        <w:t xml:space="preserve">in the </w:t>
      </w:r>
      <w:proofErr w:type="gramStart"/>
      <w:r>
        <w:rPr>
          <w:rFonts w:ascii="Arial" w:hAnsi="Arial" w:cs="Arial"/>
          <w:sz w:val="20"/>
        </w:rPr>
        <w:t>Spring</w:t>
      </w:r>
      <w:proofErr w:type="gramEnd"/>
      <w:r>
        <w:rPr>
          <w:rFonts w:ascii="Arial" w:hAnsi="Arial" w:cs="Arial"/>
          <w:sz w:val="20"/>
        </w:rPr>
        <w:t xml:space="preserve"> </w:t>
      </w:r>
      <w:r w:rsidRPr="009B16BB">
        <w:rPr>
          <w:rFonts w:ascii="Arial" w:hAnsi="Arial" w:cs="Arial"/>
          <w:sz w:val="20"/>
        </w:rPr>
        <w:t>to bring the plan in line with our target.</w:t>
      </w:r>
      <w:r>
        <w:rPr>
          <w:rFonts w:ascii="Arial" w:hAnsi="Arial" w:cs="Arial"/>
          <w:sz w:val="20"/>
        </w:rPr>
        <w:t xml:space="preserve">  Based on work done by our consultants regarding the market, increasing plan deductibles may be among the recommendations proposed.  Staff will also carefully evaluate our Health Care Fund in the context of actual claims experience and required adjustments in premiums to maintain our targeted 25% reserve balance. Preliminarily, we believe a premium increase of between 4 - 8% may be required.   </w:t>
      </w:r>
    </w:p>
    <w:p w:rsidR="00CE7816" w:rsidRPr="009B16BB" w:rsidRDefault="00CE7816" w:rsidP="00CE7816">
      <w:pPr>
        <w:rPr>
          <w:rFonts w:ascii="Arial" w:hAnsi="Arial" w:cs="Arial"/>
          <w:sz w:val="20"/>
        </w:rPr>
      </w:pPr>
    </w:p>
    <w:p w:rsidR="00E27FD6" w:rsidRDefault="000C7C0E"/>
    <w:sectPr w:rsidR="00E27FD6" w:rsidSect="00B146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E7816"/>
    <w:rsid w:val="00001F11"/>
    <w:rsid w:val="00015A1B"/>
    <w:rsid w:val="00054118"/>
    <w:rsid w:val="00095A60"/>
    <w:rsid w:val="000B254C"/>
    <w:rsid w:val="000C7C0E"/>
    <w:rsid w:val="00103164"/>
    <w:rsid w:val="0015390E"/>
    <w:rsid w:val="001604BD"/>
    <w:rsid w:val="002602E8"/>
    <w:rsid w:val="00361789"/>
    <w:rsid w:val="00494587"/>
    <w:rsid w:val="005027F2"/>
    <w:rsid w:val="005818AA"/>
    <w:rsid w:val="005A4877"/>
    <w:rsid w:val="005B32DB"/>
    <w:rsid w:val="005C3C3B"/>
    <w:rsid w:val="0060054C"/>
    <w:rsid w:val="0061043F"/>
    <w:rsid w:val="0061339B"/>
    <w:rsid w:val="00630EC9"/>
    <w:rsid w:val="0067087A"/>
    <w:rsid w:val="00672117"/>
    <w:rsid w:val="00672858"/>
    <w:rsid w:val="00695CA4"/>
    <w:rsid w:val="006A324C"/>
    <w:rsid w:val="006C6419"/>
    <w:rsid w:val="007036C6"/>
    <w:rsid w:val="00733364"/>
    <w:rsid w:val="00770A9B"/>
    <w:rsid w:val="00784022"/>
    <w:rsid w:val="007F231D"/>
    <w:rsid w:val="00803633"/>
    <w:rsid w:val="0081330B"/>
    <w:rsid w:val="0083328C"/>
    <w:rsid w:val="00837D60"/>
    <w:rsid w:val="0084355B"/>
    <w:rsid w:val="00903C91"/>
    <w:rsid w:val="00933B62"/>
    <w:rsid w:val="00956B30"/>
    <w:rsid w:val="00987977"/>
    <w:rsid w:val="009C2AE6"/>
    <w:rsid w:val="009E3CB2"/>
    <w:rsid w:val="00A06B1A"/>
    <w:rsid w:val="00A555F4"/>
    <w:rsid w:val="00A749F8"/>
    <w:rsid w:val="00AC7AF4"/>
    <w:rsid w:val="00AE1178"/>
    <w:rsid w:val="00B10797"/>
    <w:rsid w:val="00B14661"/>
    <w:rsid w:val="00B445F5"/>
    <w:rsid w:val="00B76A2B"/>
    <w:rsid w:val="00B81329"/>
    <w:rsid w:val="00BC50BE"/>
    <w:rsid w:val="00C03FDD"/>
    <w:rsid w:val="00C04F37"/>
    <w:rsid w:val="00C06E82"/>
    <w:rsid w:val="00C47D1E"/>
    <w:rsid w:val="00CE7816"/>
    <w:rsid w:val="00D43006"/>
    <w:rsid w:val="00E06164"/>
    <w:rsid w:val="00E0765B"/>
    <w:rsid w:val="00E8021B"/>
    <w:rsid w:val="00EA4E70"/>
    <w:rsid w:val="00EA6999"/>
    <w:rsid w:val="00EB0DDE"/>
    <w:rsid w:val="00EB6733"/>
    <w:rsid w:val="00EE7BE0"/>
    <w:rsid w:val="00F00F9B"/>
    <w:rsid w:val="00F155FB"/>
    <w:rsid w:val="00F502C4"/>
    <w:rsid w:val="00F56A9A"/>
    <w:rsid w:val="00F64DD2"/>
    <w:rsid w:val="00F65413"/>
    <w:rsid w:val="00F80034"/>
    <w:rsid w:val="00FD47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816"/>
    <w:pPr>
      <w:widowControl w:val="0"/>
      <w:snapToGrid w:val="0"/>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E7816"/>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875</Words>
  <Characters>4994</Characters>
  <Application>Microsoft Office Word</Application>
  <DocSecurity>4</DocSecurity>
  <Lines>41</Lines>
  <Paragraphs>11</Paragraphs>
  <ScaleCrop>false</ScaleCrop>
  <Company>County of Albemarle</Company>
  <LinksUpToDate>false</LinksUpToDate>
  <CharactersWithSpaces>5858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lgerome</dc:creator>
  <cp:lastModifiedBy>lgerome</cp:lastModifiedBy>
  <cp:revision>2</cp:revision>
  <dcterms:created xsi:type="dcterms:W3CDTF">2012-10-05T13:16:00Z</dcterms:created>
  <dcterms:modified xsi:type="dcterms:W3CDTF">2012-10-05T13:16:00Z</dcterms:modified>
</cp:coreProperties>
</file>